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/>
      </w:pPr>
      <w:r>
        <w:rPr/>
        <w:t>Excelentíssimo Senhor Prefeito Municipal de Três Passos</w:t>
      </w:r>
    </w:p>
    <w:p>
      <w:pPr>
        <w:pStyle w:val="Normal"/>
        <w:jc w:val="both"/>
        <w:rPr/>
      </w:pPr>
      <w:r>
        <w:rPr/>
        <w:t>Arlei Luis Tomazoni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CÂMARA MUNICIPAL DE TRÊS PASSOS</w:t>
      </w:r>
    </w:p>
    <w:p>
      <w:pPr>
        <w:pStyle w:val="Normal"/>
        <w:jc w:val="both"/>
        <w:rPr/>
      </w:pPr>
      <w:r>
        <w:rPr/>
        <w:t>AUTÓGRAFO N</w:t>
      </w:r>
      <w:r>
        <w:rPr>
          <w:strike/>
        </w:rPr>
        <w:t>º</w:t>
      </w:r>
      <w:r>
        <w:rPr/>
        <w:t xml:space="preserve"> 14</w:t>
      </w:r>
      <w:r>
        <w:rPr/>
        <w:t>2</w:t>
      </w:r>
      <w:r>
        <w:rPr/>
        <w:t xml:space="preserve"> DE 2022</w:t>
      </w:r>
    </w:p>
    <w:p>
      <w:pPr>
        <w:pStyle w:val="Normal"/>
        <w:jc w:val="both"/>
        <w:rPr/>
      </w:pPr>
      <w:r>
        <w:rPr/>
        <w:t>Em 1</w:t>
      </w:r>
      <w:r>
        <w:rPr/>
        <w:t>4</w:t>
      </w:r>
      <w:r>
        <w:rPr/>
        <w:t xml:space="preserve"> de dezembro de 2022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Senhor Prefeito,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ab/>
        <w:t>Dirijo-me a Vossa Excelência para comunicar que esta Câmara Municipal, na Sessão de  1</w:t>
      </w:r>
      <w:r>
        <w:rPr/>
        <w:t>4</w:t>
      </w:r>
      <w:r>
        <w:rPr/>
        <w:t xml:space="preserve"> de dezembro de 2022, aprovou o PROJETO DE LEI N</w:t>
      </w:r>
      <w:r>
        <w:rPr>
          <w:strike/>
        </w:rPr>
        <w:t>º</w:t>
      </w:r>
      <w:r>
        <w:rPr/>
        <w:t xml:space="preserve"> 1</w:t>
      </w:r>
      <w:r>
        <w:rPr/>
        <w:t>4</w:t>
      </w:r>
      <w:r>
        <w:rPr/>
        <w:t>0, de 2022, de sua autoria, que “</w:t>
      </w:r>
      <w:r>
        <w:rPr/>
        <w:t>e</w:t>
      </w:r>
      <w:r>
        <w:rPr/>
        <w:t xml:space="preserve">stima a receita e fixa a despesa do </w:t>
      </w:r>
      <w:r>
        <w:rPr/>
        <w:t>M</w:t>
      </w:r>
      <w:r>
        <w:rPr/>
        <w:t>unicípio de Três Passos para o exercício financeiro de 2023”, seguindo a redação final para sanção ou veto nos termos do art. 72 da Lei Orgânica Municipal.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2137410" cy="427355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4" t="-419" r="-84" b="-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Vereador Edivan Nelsi Baron</w:t>
      </w:r>
    </w:p>
    <w:p>
      <w:pPr>
        <w:pStyle w:val="Normal"/>
        <w:jc w:val="center"/>
        <w:rPr/>
      </w:pPr>
      <w:r>
        <w:rPr/>
        <w:t>Presidente da Câmara Municipal de Três Passos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</w:rPr>
        <w:t>PROJETO DE LEI N</w:t>
      </w:r>
      <w:r>
        <w:rPr>
          <w:b/>
          <w:bCs/>
          <w:strike/>
        </w:rPr>
        <w:t>º</w:t>
      </w:r>
      <w:r>
        <w:rPr>
          <w:b/>
          <w:bCs/>
        </w:rPr>
        <w:t xml:space="preserve"> </w:t>
      </w:r>
      <w:r>
        <w:rPr>
          <w:b/>
          <w:bCs/>
        </w:rPr>
        <w:t>14</w:t>
      </w:r>
      <w:r>
        <w:rPr>
          <w:b/>
          <w:bCs/>
        </w:rPr>
        <w:t xml:space="preserve">0, DE </w:t>
      </w:r>
      <w:r>
        <w:rPr>
          <w:b/>
          <w:bCs/>
        </w:rPr>
        <w:t>3</w:t>
      </w:r>
      <w:r>
        <w:rPr>
          <w:b/>
          <w:bCs/>
        </w:rPr>
        <w:t xml:space="preserve"> DE NOVEMBRO DE 2022</w:t>
      </w:r>
    </w:p>
    <w:p>
      <w:pPr>
        <w:pStyle w:val="Normal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ind w:left="4535" w:hanging="0"/>
        <w:jc w:val="both"/>
        <w:rPr/>
      </w:pPr>
      <w:r>
        <w:rPr/>
        <w:t xml:space="preserve">Estima a receita e fixa a despesa do </w:t>
      </w:r>
      <w:r>
        <w:rPr/>
        <w:t>M</w:t>
      </w:r>
      <w:r>
        <w:rPr/>
        <w:t>unicípio de Três Passos para o exercício financeiro de 2023.</w:t>
      </w:r>
    </w:p>
    <w:p>
      <w:pPr>
        <w:pStyle w:val="Normal"/>
        <w:ind w:left="4535" w:hanging="0"/>
        <w:jc w:val="both"/>
        <w:rPr/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CAPÍTULO 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DISPOSIÇÕES PRELIMINARES</w:t>
      </w:r>
    </w:p>
    <w:p>
      <w:pPr>
        <w:pStyle w:val="Normal"/>
        <w:spacing w:before="0" w:after="0"/>
        <w:jc w:val="center"/>
        <w:rPr>
          <w:rFonts w:cs="Arial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1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Esta Lei estima a Receita e fixa a Despesa do Município para o exercício financeiro de 2023, compreendendo: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 - O Orçamento Fiscal, referente aos Poderes do Município, seus fundos, órgãos e entidades da Administração Pública Municipal Direta e Indireta, inclusive Fundações instituídas e mantidas pelo Poder Público;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II - O Orçamento da Seguridade Social, abrangendo todas as entidades e órgãos da Administração Direta e Indireta a ele vinculados, bem como Fundações instituídas e mantidas pelo Poder Público;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III - o Orçamento de Investimento das Empresas em que o Município, direta ou indiretamente, detém a maioria do capital social com direito a voto.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Arial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CAPÍTULO II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DO ORÇAMENTO FISCAL E DA SEGURIDADE SOCIAL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Seção 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Da Estimativa da Receita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2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A Receita Orçamentária é estimada, no mesmo valor da Despesa, em R$ 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129.600.000,00 (cento e vinte e nove milhões e seiscentos mil reais).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3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A estimativa da receita por Categoria Econômica, segundo a origem dos recursos, será realizada com base no produto do que for arrecadado, na forma da legislação vigente e de acordo com o seguinte desdobramento:</w:t>
      </w:r>
    </w:p>
    <w:tbl>
      <w:tblPr>
        <w:tblW w:w="9164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1" w:noVBand="0" w:lastRow="0" w:firstColumn="1" w:lastColumn="0" w:noHBand="0" w:val="00a0"/>
      </w:tblPr>
      <w:tblGrid>
        <w:gridCol w:w="4237"/>
        <w:gridCol w:w="1560"/>
        <w:gridCol w:w="1676"/>
        <w:gridCol w:w="1691"/>
      </w:tblGrid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ESPECIFICAÇÃO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RECURSOS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LIVRES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RECURSOS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VINCULADOS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TOTAL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1 – RECEITAS CORRENTES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83.630.421,88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45.598.247,12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129.228.669,00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Impostos Taxas e Contribuição de Melhoria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21.727.700,00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21.727.700,00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Receita de Contribuições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5.808.699,00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5.808.699,00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Receita Patrimonial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2.076.371,88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4.412.229,12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6.488.601,00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Receita de Serviços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180.850,00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180.850,00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Transferências Correntes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59.313.500,00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35.004.219,00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94.317.719,00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Outras Receitas Correntes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332.000,00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373.100,00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705.100,00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2 – RECEITAS DE CAPITAL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800.000,00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400.000,00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1.200.000,00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Alienação de Bens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800.000,00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800.000,00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Outras Receitas de Capital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400.000,00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400.000,00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7 – RECEITAS CORRENTES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    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INTRAORÇAMENTÁRIAS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10.646.351,00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10.646.351,00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Receita de Contribuições – Intraorç.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10.646.351,00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10.646.351,00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9 – DEDUÇÕES DA RECEITA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11.475.020,00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11.475.020,00</w:t>
            </w:r>
          </w:p>
        </w:tc>
      </w:tr>
      <w:tr>
        <w:trPr>
          <w:trHeight w:val="262" w:hRule="atLeast"/>
        </w:trPr>
        <w:tc>
          <w:tcPr>
            <w:tcW w:w="4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TOTAL 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72.955.401,88</w:t>
            </w:r>
          </w:p>
        </w:tc>
        <w:tc>
          <w:tcPr>
            <w:tcW w:w="16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56.644.598,12</w:t>
            </w:r>
          </w:p>
        </w:tc>
        <w:tc>
          <w:tcPr>
            <w:tcW w:w="16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129.600.000,00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Arial"/>
          <w:b w:val="false"/>
          <w:b w:val="false"/>
          <w:bCs w:val="false"/>
          <w:iCs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Seção II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Da Fixação da Despesa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ab/>
        <w:t>Art. 4</w:t>
      </w:r>
      <w:r>
        <w:rPr>
          <w:rFonts w:cs="Arial" w:ascii="Times New Roman" w:hAnsi="Times New Roman"/>
          <w:b w:val="false"/>
          <w:bCs w:val="false"/>
          <w:iCs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 xml:space="preserve"> A Despesa Orçamentária, no mesmo valor da Receita Orçamentária, é fixada em R$ 129.600.000,00 (cento e vinte e nove milhões e seiscentos mil reais) sendo: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ab/>
        <w:t>I - No Orçamento Fiscal, em R$ 88.705.050,00 (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o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itenta e oito milhões, setecentos e cinco mil e cinquenta reais).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ab/>
        <w:t>II - No Orçamento da Seguridade Social, em R$ 40.894.950,00 (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q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uarenta milhões, oitocentos e noventa e quatro mil e novecentos e cinquenta reais).</w:t>
      </w:r>
    </w:p>
    <w:p>
      <w:pPr>
        <w:pStyle w:val="Normal"/>
        <w:spacing w:before="0" w:after="0"/>
        <w:jc w:val="both"/>
        <w:rPr>
          <w:rFonts w:cs="Arial"/>
          <w:iCs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>Art. 5</w:t>
      </w:r>
      <w:r>
        <w:rPr>
          <w:rFonts w:cs="Arial" w:ascii="Times New Roman" w:hAnsi="Times New Roman"/>
          <w:b w:val="false"/>
          <w:bCs w:val="false"/>
          <w:iCs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iCs/>
          <w:sz w:val="24"/>
          <w:szCs w:val="24"/>
        </w:rPr>
        <w:t xml:space="preserve"> A despesa total fixada apresenta o seguinte desdobramento:</w:t>
      </w:r>
    </w:p>
    <w:tbl>
      <w:tblPr>
        <w:tblW w:w="9055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0" w:noVBand="0" w:lastRow="0" w:firstColumn="0" w:lastColumn="0" w:noHBand="0" w:val="0000"/>
      </w:tblPr>
      <w:tblGrid>
        <w:gridCol w:w="4110"/>
        <w:gridCol w:w="1559"/>
        <w:gridCol w:w="1656"/>
        <w:gridCol w:w="1730"/>
      </w:tblGrid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36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GRUPO DE DESPESA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RECURSOS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LIVRES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RECURSOS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VINCULADOS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TOTAL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3. DESPESAS CORRENTES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63.160.372,88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52.866.138,12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116.026.511,00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3.1 - Pessoal e Encargos Sociais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28.363.377,00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44.401.740,50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72.765.117,50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3.2 - Juros e Encargos da Dívida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20.000,00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20.000,00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3.3 - Outras Despesas Correntes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34.776.995,88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8.464.397,62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43.241.393,50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4. DESPESAS DE CAPITAL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6.497.029,00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2.310.734,00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8.807.763,00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4.1 – Investimentos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6.497.029,00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2.310.734,00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8.807.763,00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9.9 - Reserva de Contingência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3.298.000,00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1.467.726,00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4.765.726,00</w:t>
            </w:r>
          </w:p>
        </w:tc>
      </w:tr>
      <w:tr>
        <w:trPr>
          <w:trHeight w:val="250" w:hRule="atLeast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72.955.401,88</w:t>
            </w:r>
          </w:p>
        </w:tc>
        <w:tc>
          <w:tcPr>
            <w:tcW w:w="16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56.644.598,12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Arial" w:ascii="Times New Roman" w:hAnsi="Times New Roman"/>
                <w:b w:val="false"/>
                <w:bCs w:val="false"/>
                <w:sz w:val="24"/>
                <w:szCs w:val="24"/>
              </w:rPr>
              <w:t>129.600.000,00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Art. 6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Integram esta Lei, nos termos do art. 1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da Lei Municipal n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5804/2022, que dispõe sobre as Diretrizes Orçamentárias para o Exercício Financeiro de 2023, os anexos contendo os quadros orçamentários e demonstrativos das Receitas e Despesas, a programação de trabalho das unidades orçamentárias e o detalhamento dos créditos orçamentários.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737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Seção III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Da Autorização para Abertura de Créditos Suplementares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7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Ficam autorizados: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 – Ao Poder Executivo, mediante Decreto, a abertura de Créditos Suplementares até o limite de 20% da sua despesa total fixada, compreendendo as operações intraorçamentárias, com a finalidade de suprir insuficiências de dotações orçamentárias, mediante a utilização de recursos provenientes de: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 xml:space="preserve">a) anulação parcial ou total de suas dotações, inclusive a Reserva de Contingência, observado o disposto no art. 29 da Lei Municipal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n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5.804,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de 15 de setembro de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2022, que dispõe sobre as Diretrizes Orçamentárias para o exercício financeiro de 2023;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b) incorporação de superávit financeiro do exercício anterior, bem como o que for gerado em 2023 a partir do cancelamento de restos a pagar, obedecidas as respectivas fontes/destinações de recursos;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c) excesso de arrecadação, a ser apurado nos termos do art. 43, § 3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, da Lei Federal n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4.320,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de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1964, obedecidas as respectivas fontes/destinações de recursos.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II – Ao Poder Legislativo, mediante Resolução da Mesa Diretora da Câmara, a abertura de Créditos Suplementares até o limite de 20% de sua despesa total fixada, compreendendo as operações intraorçamentárias da Câmara, com a finalidade de suprir insuficiências de suas dotações orçamentárias, desde que sejam indicados, como recursos, a anulação parcial ou total de dotações do próprio Poder Legislativo.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 xml:space="preserve">Parágrafo único. As autorizações de que tratam os incisos I e II do </w:t>
      </w:r>
      <w:r>
        <w:rPr>
          <w:rFonts w:cs="Arial" w:ascii="Times New Roman" w:hAnsi="Times New Roman"/>
          <w:b w:val="false"/>
          <w:bCs w:val="false"/>
          <w:i/>
          <w:iCs/>
          <w:sz w:val="24"/>
          <w:szCs w:val="24"/>
        </w:rPr>
        <w:t>caput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abrangem também as suplementações de programações que forem incluídas na Lei Orçamentária através de créditos especiais.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8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Além dos créditos suplementares autorizados no inciso I do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art.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7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, e sem prejuízo do limite nele estabelecido, fica o Poder Executivo também autorizado a abrir créditos suplementares destinados ao reforço de: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 - de dotações do Grupo de Natureza da Despesa 1 - Pessoal e Encargos Sociais, mediante a utilização de recursos oriundos de anulação de despesas consignadas ao mesmo grupo;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 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II - dotações de despesas classificáveis nos elementos 21 – Juros Sobre a Dívida por Contratos, 22 – Outros Encargos Sobre a Dívida por Contrato, 71 – Principal da Dívida Contratual Resgatado e 91 – Sentenças Judiciais;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III - dotações de despesas suportadas com recursos provenientes de operações de crédito, alienação de bens móveis e imóveis e transferências voluntárias da União e do Estado.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CAPÍTULO III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>DISPOSIÇÕES GERAIS E FINAIS</w:t>
      </w:r>
    </w:p>
    <w:p>
      <w:pPr>
        <w:pStyle w:val="Normal"/>
        <w:spacing w:before="0" w:after="0"/>
        <w:jc w:val="center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9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A utilização das dotações com origem de recursos provenientes de transferências voluntárias, operações de crédito e alienação de bens fica limitada aos efetivos recursos assegurados, nos termos do art. 22 da Lei de Diretrizes Orçamentárias para 2023.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10. Obedecidas as disposições da Lei de Diretrizes Orçamentárias, as transferências financeiras destinadas à Câmara Municipal serão disponibilizadas até o dia 20 de cada mês.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11. O Prefeito Municipal, nos termos do que dispuser a Lei de Diretrizes Orçamentárias, poderá adotar mecanismos para utilização das dotações, de forma a compatibilizar as despesas à efetiva realização das receitas.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 xml:space="preserve">Art. 12. Ficam atualizados, com base nos valores desta Lei o montante previsto para as receitas, despesas, resultado primário  e resultado nominal previstos no demonstrativo referidos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no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art. 1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,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p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arágrafo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nico, I, “a”,  da Lei Municipal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n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5.804,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de 15 de setembro de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2022, que dispõe sobre as Diretrizes Orçamentárias para o exercício financeiro de 2023 em conformidade com o disposto no art. 2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, §§ 1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e 2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da referida Lei.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 xml:space="preserve">Parágrafo único. Para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efei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tos de avaliação do cumprimento das metas fiscais na audiência pública prevista no art. 9</w:t>
      </w:r>
      <w:r>
        <w:rPr>
          <w:rFonts w:cs="Arial" w:ascii="Times New Roman" w:hAnsi="Times New Roman"/>
          <w:b w:val="false"/>
          <w:bCs w:val="false"/>
          <w:sz w:val="24"/>
          <w:szCs w:val="24"/>
          <w:u w:val="single"/>
          <w:vertAlign w:val="superscript"/>
        </w:rPr>
        <w:t>o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, § 4</w:t>
      </w:r>
      <w:r>
        <w:rPr>
          <w:rFonts w:cs="Arial" w:ascii="Times New Roman" w:hAnsi="Times New Roman"/>
          <w:b w:val="false"/>
          <w:bCs w:val="false"/>
          <w:sz w:val="24"/>
          <w:szCs w:val="24"/>
          <w:u w:val="single"/>
          <w:vertAlign w:val="superscript"/>
        </w:rPr>
        <w:t>o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, da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Lei Complementar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n</w:t>
      </w:r>
      <w:r>
        <w:rPr>
          <w:rFonts w:cs="Arial" w:ascii="Times New Roman" w:hAnsi="Times New Roman"/>
          <w:b w:val="false"/>
          <w:bCs w:val="false"/>
          <w:strike/>
          <w:sz w:val="24"/>
          <w:szCs w:val="24"/>
        </w:rPr>
        <w:t>º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101,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de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2000, as receitas e despesas realizadas, bem como o resultado primário e nominal, apurados pela metodologia acima da linha, serão comparados com as metas ajustadas nos termos do caput deste artigo.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 xml:space="preserve">Art. 13. O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P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oder 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E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xecutivo poderá efetuar alterações nos código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>s</w:t>
      </w:r>
      <w:r>
        <w:rPr>
          <w:rFonts w:cs="Arial" w:ascii="Times New Roman" w:hAnsi="Times New Roman"/>
          <w:b w:val="false"/>
          <w:bCs w:val="false"/>
          <w:sz w:val="24"/>
          <w:szCs w:val="24"/>
        </w:rPr>
        <w:t xml:space="preserve"> e descrições das funções, subfunções, naturezas de receitas e despesas orçamentárias e fontes de recursos, visando adequá-los às alterações que venham a ser definidas pela  Secretaria do Tesouro Nacional (STN) ou pelo Tribunal de Contas do Estado (TCE-RS). </w:t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</w:r>
    </w:p>
    <w:p>
      <w:pPr>
        <w:pStyle w:val="Normal"/>
        <w:spacing w:before="0" w:after="0"/>
        <w:jc w:val="both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cs="Arial" w:ascii="Times New Roman" w:hAnsi="Times New Roman"/>
          <w:b w:val="false"/>
          <w:bCs w:val="false"/>
          <w:sz w:val="24"/>
          <w:szCs w:val="24"/>
        </w:rPr>
        <w:tab/>
        <w:t>Art. 14. Esta Lei entra em vigor na data de sua publicação.</w:t>
      </w:r>
    </w:p>
    <w:sectPr>
      <w:headerReference w:type="default" r:id="rId3"/>
      <w:footerReference w:type="default" r:id="rId4"/>
      <w:type w:val="nextPage"/>
      <w:pgSz w:w="11906" w:h="16838"/>
      <w:pgMar w:left="1701" w:right="851" w:gutter="0" w:header="680" w:top="2693" w:footer="680" w:bottom="99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 Light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FGOUYJ+RotisSemiSerif">
    <w:charset w:val="00"/>
    <w:family w:val="roman"/>
    <w:pitch w:val="variable"/>
  </w:font>
  <w:font w:name="Calibri">
    <w:charset w:val="00"/>
    <w:family w:val="roman"/>
    <w:pitch w:val="variable"/>
  </w:font>
  <w:font w:name="Palatino Linotype">
    <w:charset w:val="00"/>
    <w:family w:val="roman"/>
    <w:pitch w:val="variable"/>
  </w:font>
  <w:font w:name="Times New Roman">
    <w:charset w:val="01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/>
    </w:pPr>
    <w:r>
      <w:rPr>
        <w:rFonts w:cs="Arial Black" w:ascii="Arial Black" w:hAnsi="Arial Black"/>
        <w:sz w:val="16"/>
      </w:rPr>
      <w:t xml:space="preserve">E-mail: </w:t>
    </w:r>
    <w:r>
      <w:rPr>
        <w:rStyle w:val="LinkdaInternet"/>
        <w:rFonts w:cs="Arial Black" w:ascii="Arial Black" w:hAnsi="Arial Black"/>
        <w:color w:val="00000A"/>
        <w:sz w:val="16"/>
        <w:u w:val="none"/>
      </w:rPr>
      <w:t>camara@trespassos.rs.leg.br</w:t>
    </w:r>
    <w:r>
      <w:rPr>
        <w:rFonts w:cs="Arial Black" w:ascii="Arial Black" w:hAnsi="Arial Black"/>
        <w:sz w:val="16"/>
      </w:rPr>
      <w:t xml:space="preserve">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114935" distR="114935" simplePos="0" locked="0" layoutInCell="0" allowOverlap="1" relativeHeight="6">
          <wp:simplePos x="0" y="0"/>
          <wp:positionH relativeFrom="column">
            <wp:posOffset>2522855</wp:posOffset>
          </wp:positionH>
          <wp:positionV relativeFrom="paragraph">
            <wp:posOffset>-105410</wp:posOffset>
          </wp:positionV>
          <wp:extent cx="797560" cy="1140460"/>
          <wp:effectExtent l="0" t="0" r="0" b="0"/>
          <wp:wrapSquare wrapText="largest"/>
          <wp:docPr id="2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5" t="-46" r="-55" b="-46"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1140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rPr/>
    </w:pPr>
    <w:r>
      <w:rPr/>
    </w:r>
  </w:p>
  <w:p>
    <w:pPr>
      <w:pStyle w:val="Cabealho"/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>
        <w:sz w:val="20"/>
        <w:szCs w:val="20"/>
      </w:rPr>
    </w:pPr>
    <w:r>
      <w:rPr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t-BR" w:eastAsia="zh-CN" w:bidi="ar-SA"/>
    </w:rPr>
  </w:style>
  <w:style w:type="paragraph" w:styleId="Ttulo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 w:val="true"/>
      <w:keepLines/>
      <w:numPr>
        <w:ilvl w:val="1"/>
        <w:numId w:val="1"/>
      </w:numPr>
      <w:spacing w:before="40" w:after="0"/>
      <w:outlineLvl w:val="1"/>
    </w:pPr>
    <w:rPr>
      <w:rFonts w:ascii="Calibri Light" w:hAnsi="Calibri Light" w:eastAsia=";Calibri" w:cs=";Calibri"/>
      <w:color w:val="2E74B5"/>
      <w:sz w:val="26"/>
      <w:szCs w:val="26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 w:val="true"/>
      <w:numPr>
        <w:ilvl w:val="4"/>
        <w:numId w:val="1"/>
      </w:numPr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RodapChar" w:customStyle="1">
    <w:name w:val="Rodapé Char"/>
    <w:qFormat/>
    <w:rPr>
      <w:sz w:val="24"/>
      <w:szCs w:val="24"/>
    </w:rPr>
  </w:style>
  <w:style w:type="character" w:styleId="LinkdaInternet">
    <w:name w:val="Hyperlink"/>
    <w:rPr>
      <w:color w:val="0000FF"/>
      <w:u w:val="single"/>
    </w:rPr>
  </w:style>
  <w:style w:type="character" w:styleId="Linkdainternetvisitado">
    <w:name w:val="FollowedHyperlink"/>
    <w:rPr>
      <w:color w:val="800080"/>
      <w:u w:val="single"/>
    </w:rPr>
  </w:style>
  <w:style w:type="character" w:styleId="CorpodetextoChar" w:customStyle="1">
    <w:name w:val="Corpo de texto Char"/>
    <w:qFormat/>
    <w:rPr>
      <w:sz w:val="28"/>
    </w:rPr>
  </w:style>
  <w:style w:type="character" w:styleId="Corpodetexto2Char" w:customStyle="1">
    <w:name w:val="Corpo de texto 2 Char"/>
    <w:qFormat/>
    <w:rPr>
      <w:sz w:val="24"/>
      <w:szCs w:val="24"/>
    </w:rPr>
  </w:style>
  <w:style w:type="character" w:styleId="TextodebaloChar" w:customStyle="1">
    <w:name w:val="Texto de balão Char"/>
    <w:qFormat/>
    <w:rPr>
      <w:rFonts w:ascii="Tahoma" w:hAnsi="Tahoma" w:eastAsia="Batang;바탕" w:cs="Tahoma"/>
      <w:sz w:val="16"/>
      <w:szCs w:val="16"/>
    </w:rPr>
  </w:style>
  <w:style w:type="character" w:styleId="Corpodetexto3Char" w:customStyle="1">
    <w:name w:val="Corpo de texto 3 Char"/>
    <w:qFormat/>
    <w:rPr>
      <w:sz w:val="16"/>
      <w:szCs w:val="16"/>
    </w:rPr>
  </w:style>
  <w:style w:type="character" w:styleId="Recuodecorpodetexto3Char" w:customStyle="1">
    <w:name w:val="Recuo de corpo de texto 3 Char"/>
    <w:qFormat/>
    <w:rPr>
      <w:sz w:val="16"/>
      <w:szCs w:val="16"/>
    </w:rPr>
  </w:style>
  <w:style w:type="character" w:styleId="RecuodecorpodetextoChar" w:customStyle="1">
    <w:name w:val="Recuo de corpo de texto Char"/>
    <w:qFormat/>
    <w:rPr>
      <w:sz w:val="28"/>
      <w:szCs w:val="24"/>
    </w:rPr>
  </w:style>
  <w:style w:type="character" w:styleId="Recuodecorpodetexto2Char" w:customStyle="1">
    <w:name w:val="Recuo de corpo de texto 2 Char"/>
    <w:qFormat/>
    <w:rPr>
      <w:sz w:val="24"/>
      <w:szCs w:val="24"/>
    </w:rPr>
  </w:style>
  <w:style w:type="character" w:styleId="CabealhoChar" w:customStyle="1">
    <w:name w:val="Cabeçalho Char"/>
    <w:qFormat/>
    <w:rPr>
      <w:sz w:val="24"/>
      <w:szCs w:val="24"/>
    </w:rPr>
  </w:style>
  <w:style w:type="character" w:styleId="Ttulo1Char" w:customStyle="1">
    <w:name w:val="Título 1 Char"/>
    <w:qFormat/>
    <w:rPr>
      <w:b/>
      <w:bCs/>
      <w:sz w:val="24"/>
      <w:szCs w:val="24"/>
    </w:rPr>
  </w:style>
  <w:style w:type="character" w:styleId="Nfase">
    <w:name w:val="Emphasis"/>
    <w:qFormat/>
    <w:rPr>
      <w:i/>
      <w:iCs/>
    </w:rPr>
  </w:style>
  <w:style w:type="character" w:styleId="SubttuloChar" w:customStyle="1">
    <w:name w:val="Subtítulo Char"/>
    <w:qFormat/>
    <w:rPr>
      <w:rFonts w:ascii="Arial" w:hAnsi="Arial" w:cs="Arial"/>
      <w:kern w:val="2"/>
      <w:sz w:val="22"/>
      <w:szCs w:val="24"/>
      <w:lang w:val="pt-BR"/>
    </w:rPr>
  </w:style>
  <w:style w:type="character" w:styleId="Badge" w:customStyle="1">
    <w:name w:val="badge"/>
    <w:qFormat/>
    <w:rPr/>
  </w:style>
  <w:style w:type="character" w:styleId="Appleconvertedspace" w:customStyle="1">
    <w:name w:val="apple-converted-space"/>
    <w:qFormat/>
    <w:rPr/>
  </w:style>
  <w:style w:type="character" w:styleId="A3" w:customStyle="1">
    <w:name w:val="A3"/>
    <w:qFormat/>
    <w:rPr>
      <w:color w:val="000000"/>
      <w:sz w:val="18"/>
      <w:szCs w:val="18"/>
    </w:rPr>
  </w:style>
  <w:style w:type="character" w:styleId="Ttulo2Char" w:customStyle="1">
    <w:name w:val="Título 2 Char"/>
    <w:qFormat/>
    <w:rPr>
      <w:rFonts w:ascii="Calibri Light" w:hAnsi="Calibri Light" w:eastAsia=";Calibri" w:cs=";Calibri"/>
      <w:color w:val="2E74B5"/>
      <w:sz w:val="26"/>
      <w:szCs w:val="26"/>
    </w:rPr>
  </w:style>
  <w:style w:type="character" w:styleId="T1" w:customStyle="1">
    <w:name w:val="t1"/>
    <w:basedOn w:val="DefaultParagraphFont"/>
    <w:qFormat/>
    <w:rPr/>
  </w:style>
  <w:style w:type="character" w:styleId="Caracteresdenotaderodap" w:customStyle="1">
    <w:name w:val="Caracteres de nota de rodapé"/>
    <w:qFormat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WWCaracteresdenotaderodap" w:customStyle="1">
    <w:name w:val="WW-Caracteres de nota de rodapé"/>
    <w:qFormat/>
    <w:rPr>
      <w:vertAlign w:val="superscript"/>
    </w:rPr>
  </w:style>
  <w:style w:type="character" w:styleId="Caracteresdenotadefim" w:customStyle="1">
    <w:name w:val="Caracteres de nota de fim"/>
    <w:qFormat/>
    <w:rPr>
      <w:vertAlign w:val="superscript"/>
    </w:rPr>
  </w:style>
  <w:style w:type="character" w:styleId="Ncoradanotadefim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jc w:val="both"/>
    </w:pPr>
    <w:rPr>
      <w:sz w:val="28"/>
      <w:szCs w:val="20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uiPriority w:val="10"/>
    <w:qFormat/>
    <w:pPr>
      <w:widowControl w:val="false"/>
      <w:spacing w:lineRule="exact" w:line="360"/>
      <w:jc w:val="center"/>
    </w:pPr>
    <w:rPr>
      <w:rFonts w:ascii="Arial" w:hAnsi="Arial" w:cs="Arial"/>
      <w:b/>
      <w:sz w:val="32"/>
      <w:szCs w:val="20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tulo11" w:customStyle="1">
    <w:name w:val="Título1"/>
    <w:basedOn w:val="Normal"/>
    <w:next w:val="Corpodotexto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orpodotextorecuado">
    <w:name w:val="Body Text Indent"/>
    <w:basedOn w:val="Normal"/>
    <w:pPr>
      <w:ind w:left="-180" w:hanging="0"/>
      <w:jc w:val="both"/>
    </w:pPr>
    <w:rPr>
      <w:sz w:val="28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BodyText21" w:customStyle="1">
    <w:name w:val="Body Text 21"/>
    <w:basedOn w:val="Normal"/>
    <w:qFormat/>
    <w:pPr>
      <w:spacing w:lineRule="auto" w:line="360" w:before="10" w:after="10"/>
      <w:jc w:val="both"/>
    </w:pPr>
    <w:rPr>
      <w:rFonts w:ascii="Arial" w:hAnsi="Arial" w:cs="Arial"/>
      <w:szCs w:val="20"/>
    </w:rPr>
  </w:style>
  <w:style w:type="paragraph" w:styleId="NormalWeb">
    <w:name w:val="Normal (Web)"/>
    <w:basedOn w:val="Normal"/>
    <w:qFormat/>
    <w:pPr/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Padro" w:customStyle="1">
    <w:name w:val="Padrão"/>
    <w:qFormat/>
    <w:pPr>
      <w:widowControl/>
      <w:tabs>
        <w:tab w:val="clear" w:pos="708"/>
        <w:tab w:val="left" w:pos="0" w:leader="none"/>
        <w:tab w:val="left" w:pos="707" w:leader="none"/>
        <w:tab w:val="left" w:pos="1414" w:leader="none"/>
        <w:tab w:val="left" w:pos="2122" w:leader="none"/>
        <w:tab w:val="left" w:pos="2830" w:leader="none"/>
        <w:tab w:val="left" w:pos="3537" w:leader="none"/>
        <w:tab w:val="left" w:pos="4245" w:leader="none"/>
        <w:tab w:val="left" w:pos="4952" w:leader="none"/>
        <w:tab w:val="left" w:pos="5660" w:leader="none"/>
        <w:tab w:val="left" w:pos="6367" w:leader="none"/>
        <w:tab w:val="left" w:pos="7075" w:leader="none"/>
        <w:tab w:val="left" w:pos="7782" w:leader="none"/>
        <w:tab w:val="left" w:pos="8490" w:leader="none"/>
        <w:tab w:val="left" w:pos="9197" w:leader="none"/>
        <w:tab w:val="left" w:pos="9905" w:leader="none"/>
        <w:tab w:val="left" w:pos="10612" w:leader="none"/>
        <w:tab w:val="left" w:pos="11320" w:leader="none"/>
        <w:tab w:val="left" w:pos="12027" w:leader="none"/>
        <w:tab w:val="left" w:pos="12735" w:leader="none"/>
        <w:tab w:val="left" w:pos="13442" w:leader="none"/>
        <w:tab w:val="left" w:pos="14150" w:leader="none"/>
      </w:tabs>
      <w:suppressAutoHyphens w:val="true"/>
      <w:bidi w:val="0"/>
      <w:spacing w:lineRule="auto" w:line="156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48"/>
      <w:szCs w:val="48"/>
      <w:lang w:val="pt-BR" w:eastAsia="zh-CN" w:bidi="ar-SA"/>
    </w:rPr>
  </w:style>
  <w:style w:type="paragraph" w:styleId="Pa6" w:customStyle="1">
    <w:name w:val="Pa6"/>
    <w:basedOn w:val="Normal"/>
    <w:next w:val="Normal"/>
    <w:qFormat/>
    <w:pPr>
      <w:spacing w:lineRule="atLeast" w:line="221"/>
    </w:pPr>
    <w:rPr>
      <w:rFonts w:ascii="FGOUYJ+RotisSemiSerif" w:hAnsi="FGOUYJ+RotisSemiSerif" w:cs="FGOUYJ+RotisSemiSerif"/>
    </w:rPr>
  </w:style>
  <w:style w:type="paragraph" w:styleId="BalloonText">
    <w:name w:val="Balloon Text"/>
    <w:basedOn w:val="Normal"/>
    <w:qFormat/>
    <w:pPr/>
    <w:rPr>
      <w:rFonts w:ascii="Tahoma" w:hAnsi="Tahoma" w:eastAsia="Batang;바탕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rtigo" w:customStyle="1">
    <w:name w:val="artigo"/>
    <w:basedOn w:val="Normal"/>
    <w:qFormat/>
    <w:pPr>
      <w:spacing w:before="280" w:after="28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A"/>
      <w:kern w:val="0"/>
      <w:sz w:val="22"/>
      <w:szCs w:val="22"/>
      <w:lang w:val="pt-BR" w:eastAsia="zh-CN" w:bidi="ar-SA"/>
    </w:rPr>
  </w:style>
  <w:style w:type="paragraph" w:styleId="Subttulo">
    <w:name w:val="Subtitle"/>
    <w:basedOn w:val="Normal"/>
    <w:next w:val="Normal"/>
    <w:uiPriority w:val="11"/>
    <w:qFormat/>
    <w:pPr>
      <w:spacing w:lineRule="auto" w:line="276" w:before="120" w:after="120"/>
      <w:ind w:left="1416" w:hanging="0"/>
      <w:jc w:val="both"/>
    </w:pPr>
    <w:rPr>
      <w:rFonts w:ascii="Arial" w:hAnsi="Arial" w:cs="Arial"/>
      <w:kern w:val="2"/>
      <w:sz w:val="22"/>
    </w:rPr>
  </w:style>
  <w:style w:type="paragraph" w:styleId="Texto1" w:customStyle="1">
    <w:name w:val="texto1"/>
    <w:basedOn w:val="Normal"/>
    <w:qFormat/>
    <w:pPr>
      <w:spacing w:before="280" w:after="28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Palatino Linotype" w:hAnsi="Palatino Linotype" w:eastAsia="Times New Roman" w:cs="Palatino Linotype"/>
      <w:color w:val="000000"/>
      <w:kern w:val="0"/>
      <w:sz w:val="24"/>
      <w:szCs w:val="24"/>
      <w:lang w:val="pt-BR" w:eastAsia="zh-CN" w:bidi="ar-SA"/>
    </w:rPr>
  </w:style>
  <w:style w:type="paragraph" w:styleId="Contedodatabela" w:customStyle="1">
    <w:name w:val="Conteúdo da tabela"/>
    <w:basedOn w:val="Normal"/>
    <w:qFormat/>
    <w:pPr>
      <w:widowControl w:val="false"/>
      <w:suppressLineNumbers/>
      <w:spacing w:lineRule="auto" w:line="252" w:before="0" w:after="160"/>
    </w:pPr>
    <w:rPr>
      <w:rFonts w:ascii="Calibri" w:hAnsi="Calibri" w:eastAsia="Calibri" w:cs="font255"/>
      <w:sz w:val="22"/>
      <w:szCs w:val="22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0" w:cs="0"/>
      <w:color w:val="auto"/>
      <w:kern w:val="0"/>
      <w:sz w:val="20"/>
      <w:szCs w:val="20"/>
      <w:lang w:val="pt-BR" w:eastAsia="zh-CN" w:bidi="ar-SA"/>
    </w:rPr>
  </w:style>
  <w:style w:type="paragraph" w:styleId="Notadefim">
    <w:name w:val="End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LibreOffice/7.4.2.3$Windows_X86_64 LibreOffice_project/382eef1f22670f7f4118c8c2dd222ec7ad009daf</Application>
  <AppVersion>15.0000</AppVersion>
  <Pages>5</Pages>
  <Words>1292</Words>
  <Characters>7346</Characters>
  <CharactersWithSpaces>8597</CharactersWithSpaces>
  <Paragraphs>155</Paragraphs>
  <Company>LEGISLATIVO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2022-12-05T19:48:00Z</dcterms:created>
  <dc:creator>CAMARA MUNICIPAL DE VEREADORES DE TRES PASSOS</dc:creator>
  <dc:description/>
  <dc:language>pt-BR</dc:language>
  <cp:lastModifiedBy/>
  <cp:lastPrinted>2022-12-13T10:43:53Z</cp:lastPrinted>
  <dcterms:modified xsi:type="dcterms:W3CDTF">2022-12-14T10:49:58Z</dcterms:modified>
  <cp:revision>28</cp:revision>
  <dc:subject/>
  <dc:title>PROJETO DE LEI Nº 001/05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